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outlineLvl w:val="0"/>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outlineLvl w:val="0"/>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020</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_GB2312" w:eastAsia="仿宋_GB2312" w:cs="仿宋_GB2312"/>
          <w:color w:val="auto"/>
          <w:kern w:val="0"/>
          <w:sz w:val="32"/>
          <w:szCs w:val="32"/>
          <w:lang w:val="en-US" w:eastAsia="zh-CN"/>
        </w:rPr>
        <w:t>240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72</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w:t>
      </w:r>
      <w:r>
        <w:rPr>
          <w:rFonts w:hint="eastAsia" w:ascii="仿宋" w:hAnsi="仿宋" w:eastAsia="仿宋"/>
          <w:sz w:val="32"/>
          <w:szCs w:val="32"/>
          <w:lang w:val="en-US" w:eastAsia="zh-CN"/>
        </w:rPr>
        <w:t>且至报名日止未处罚完结的；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w:t>
      </w:r>
      <w:r>
        <w:rPr>
          <w:rFonts w:hint="eastAsia" w:ascii="仿宋" w:hAnsi="仿宋" w:eastAsia="仿宋"/>
          <w:sz w:val="32"/>
          <w:szCs w:val="32"/>
          <w:lang w:val="en-US" w:eastAsia="zh-CN"/>
        </w:rPr>
        <w:t>情形且至报名日止未处罚完结的；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_GB2312" w:hAnsi="宋体" w:eastAsia="仿宋_GB2312" w:cs="宋体"/>
          <w:color w:val="auto"/>
          <w:kern w:val="0"/>
          <w:sz w:val="32"/>
          <w:szCs w:val="32"/>
          <w:lang w:val="en-US" w:eastAsia="zh-CN" w:bidi="ar-SA"/>
        </w:rPr>
        <w:t>至报名日止仍拖欠政府地价款</w:t>
      </w:r>
      <w:r>
        <w:rPr>
          <w:rFonts w:hint="eastAsia" w:ascii="仿宋" w:hAnsi="仿宋" w:eastAsia="仿宋"/>
          <w:sz w:val="32"/>
          <w:szCs w:val="32"/>
        </w:rPr>
        <w:t>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4518</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宋体" w:eastAsia="仿宋_GB2312" w:cs="宋体"/>
          <w:color w:val="auto"/>
          <w:kern w:val="0"/>
          <w:sz w:val="32"/>
          <w:szCs w:val="32"/>
        </w:rPr>
        <w:t>《关于惠州市惠城区高新科技产业园南部新城片区23-09-02地块规划要点的说明》（惠市自然资函（惠城）〔2022〕1号）</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投资强度不低于14324元/平方米，土地产出率（营业收入）不低于21486元/平方米/年，税收产出不低于1002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竞得人在签订《成交确认书》前，须与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r>
        <w:rPr>
          <w:rFonts w:hint="eastAsia" w:ascii="仿宋_GB2312" w:hAnsi="仿宋_GB2312" w:eastAsia="仿宋_GB2312" w:cs="仿宋_GB2312"/>
          <w:color w:val="auto"/>
          <w:sz w:val="32"/>
          <w:szCs w:val="32"/>
          <w:lang w:val="en-US" w:eastAsia="zh-CN"/>
        </w:rPr>
        <w:t>(详见该宗地网上挂牌文件，网址：https://www.hzgtjy.com/)</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val="en-US" w:eastAsia="zh-CN"/>
        </w:rPr>
        <w:t>定金不予返还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w:t>
      </w:r>
      <w:r>
        <w:rPr>
          <w:rFonts w:hint="eastAsia" w:ascii="仿宋_GB2312" w:hAnsi="仿宋_GB2312" w:eastAsia="仿宋_GB2312" w:cs="仿宋_GB2312"/>
          <w:sz w:val="32"/>
          <w:szCs w:val="32"/>
        </w:rPr>
        <w:t>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7121029</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2022年6月29日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outlineLvl w:val="0"/>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6"/>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GP2022-20</w:t>
            </w:r>
          </w:p>
        </w:tc>
        <w:tc>
          <w:tcPr>
            <w:tcW w:w="69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cs="Times New Roman"/>
                <w:szCs w:val="21"/>
                <w:lang w:val="en-US" w:eastAsia="zh-CN"/>
              </w:rPr>
              <w:t>惠州市惠城区高新科技产业园南部新城片区23-09-02地块</w:t>
            </w:r>
          </w:p>
        </w:tc>
        <w:tc>
          <w:tcPr>
            <w:tcW w:w="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23-09-02</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3154</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3154</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30-40</w:t>
            </w:r>
          </w:p>
        </w:tc>
        <w:tc>
          <w:tcPr>
            <w:tcW w:w="672"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1.8</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5047-5677</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每100平方米计容积率建筑面积≥0.3个</w:t>
            </w:r>
          </w:p>
        </w:tc>
        <w:tc>
          <w:tcPr>
            <w:tcW w:w="90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通信设备、计算机及其他电子设备制造业</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36E6"/>
    <w:rsid w:val="045C3FD8"/>
    <w:rsid w:val="04946AA6"/>
    <w:rsid w:val="07386886"/>
    <w:rsid w:val="082B1937"/>
    <w:rsid w:val="0D167AC3"/>
    <w:rsid w:val="0DF23899"/>
    <w:rsid w:val="0E7A65F6"/>
    <w:rsid w:val="0F5C7083"/>
    <w:rsid w:val="101D3BC2"/>
    <w:rsid w:val="10BD4DFA"/>
    <w:rsid w:val="111502FA"/>
    <w:rsid w:val="11497254"/>
    <w:rsid w:val="137618AF"/>
    <w:rsid w:val="1378696F"/>
    <w:rsid w:val="13D50F1B"/>
    <w:rsid w:val="14895F86"/>
    <w:rsid w:val="165A06F9"/>
    <w:rsid w:val="167673A1"/>
    <w:rsid w:val="17AA0480"/>
    <w:rsid w:val="188D227F"/>
    <w:rsid w:val="1A0B2C56"/>
    <w:rsid w:val="1AA5305E"/>
    <w:rsid w:val="1AB96397"/>
    <w:rsid w:val="1ADB0E54"/>
    <w:rsid w:val="1BBA2C7F"/>
    <w:rsid w:val="1C5904D7"/>
    <w:rsid w:val="1DA10869"/>
    <w:rsid w:val="1DD73460"/>
    <w:rsid w:val="1DE30B94"/>
    <w:rsid w:val="1E862B6D"/>
    <w:rsid w:val="1F7C2358"/>
    <w:rsid w:val="20ED2229"/>
    <w:rsid w:val="214F5422"/>
    <w:rsid w:val="22890C8D"/>
    <w:rsid w:val="23635EBF"/>
    <w:rsid w:val="25032222"/>
    <w:rsid w:val="25055FD6"/>
    <w:rsid w:val="28774868"/>
    <w:rsid w:val="2A6B42FA"/>
    <w:rsid w:val="2A870225"/>
    <w:rsid w:val="2AC221EF"/>
    <w:rsid w:val="2B5D4967"/>
    <w:rsid w:val="2B991EB8"/>
    <w:rsid w:val="2CF10829"/>
    <w:rsid w:val="2EE172DE"/>
    <w:rsid w:val="304C7078"/>
    <w:rsid w:val="31CE6D72"/>
    <w:rsid w:val="334624C4"/>
    <w:rsid w:val="35335FA2"/>
    <w:rsid w:val="35521EEE"/>
    <w:rsid w:val="36061489"/>
    <w:rsid w:val="37607760"/>
    <w:rsid w:val="380440B7"/>
    <w:rsid w:val="381E07C6"/>
    <w:rsid w:val="38BD14D1"/>
    <w:rsid w:val="393D0EAE"/>
    <w:rsid w:val="3A1539BC"/>
    <w:rsid w:val="3B315140"/>
    <w:rsid w:val="3C13026D"/>
    <w:rsid w:val="3DDC60B5"/>
    <w:rsid w:val="3F3714BF"/>
    <w:rsid w:val="40231E47"/>
    <w:rsid w:val="40363F40"/>
    <w:rsid w:val="411B39E1"/>
    <w:rsid w:val="42CE6157"/>
    <w:rsid w:val="43706132"/>
    <w:rsid w:val="45C047BF"/>
    <w:rsid w:val="45DC2943"/>
    <w:rsid w:val="48572CF1"/>
    <w:rsid w:val="4A1228DB"/>
    <w:rsid w:val="4A1B1ECC"/>
    <w:rsid w:val="4AE74DD0"/>
    <w:rsid w:val="4C2E14D5"/>
    <w:rsid w:val="4F760243"/>
    <w:rsid w:val="4F861E18"/>
    <w:rsid w:val="50AC3441"/>
    <w:rsid w:val="538C505C"/>
    <w:rsid w:val="552F0F07"/>
    <w:rsid w:val="55B64659"/>
    <w:rsid w:val="565101CA"/>
    <w:rsid w:val="567F481B"/>
    <w:rsid w:val="57A3234F"/>
    <w:rsid w:val="57C844D5"/>
    <w:rsid w:val="596A13D8"/>
    <w:rsid w:val="5A893EB0"/>
    <w:rsid w:val="5AF873B7"/>
    <w:rsid w:val="5C8041A9"/>
    <w:rsid w:val="5D241B5A"/>
    <w:rsid w:val="5E3B0440"/>
    <w:rsid w:val="606821F3"/>
    <w:rsid w:val="60BF3E28"/>
    <w:rsid w:val="614A26F3"/>
    <w:rsid w:val="64D925C4"/>
    <w:rsid w:val="68527CA2"/>
    <w:rsid w:val="692A6240"/>
    <w:rsid w:val="6E243EC3"/>
    <w:rsid w:val="6EB83079"/>
    <w:rsid w:val="6F4B3B48"/>
    <w:rsid w:val="73BE7EBD"/>
    <w:rsid w:val="73D33D8C"/>
    <w:rsid w:val="748840AA"/>
    <w:rsid w:val="750D1BD7"/>
    <w:rsid w:val="761352C3"/>
    <w:rsid w:val="77DD303C"/>
    <w:rsid w:val="79E82C45"/>
    <w:rsid w:val="7ACA2817"/>
    <w:rsid w:val="7B832F79"/>
    <w:rsid w:val="7D060077"/>
    <w:rsid w:val="7F252698"/>
    <w:rsid w:val="7F82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2022-03-09T07:18:00Z</cp:lastPrinted>
  <dcterms:modified xsi:type="dcterms:W3CDTF">2022-06-29T09:00:03Z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2376193916E34C638ABC7AA510448726</vt:lpwstr>
  </property>
</Properties>
</file>